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C1" w:rsidRDefault="003C70AC">
      <w:pPr>
        <w:pStyle w:val="BodyText"/>
        <w:spacing w:line="20" w:lineRule="exact"/>
        <w:ind w:left="109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hr-HR" w:eastAsia="hr-HR"/>
        </w:rPr>
        <mc:AlternateContent>
          <mc:Choice Requires="wpg">
            <w:drawing>
              <wp:inline distT="0" distB="0" distL="0" distR="0">
                <wp:extent cx="6692900" cy="6350"/>
                <wp:effectExtent l="9525" t="0" r="3175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900" cy="6350"/>
                          <a:chOff x="0" y="0"/>
                          <a:chExt cx="66929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3346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0">
                                <a:moveTo>
                                  <a:pt x="0" y="0"/>
                                </a:moveTo>
                                <a:lnTo>
                                  <a:pt x="33464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46450" y="3175"/>
                            <a:ext cx="3346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0">
                                <a:moveTo>
                                  <a:pt x="0" y="0"/>
                                </a:moveTo>
                                <a:lnTo>
                                  <a:pt x="33464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BE0D0" id="Group 1" o:spid="_x0000_s1026" style="width:527pt;height:.5pt;mso-position-horizontal-relative:char;mso-position-vertical-relative:line" coordsize="669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">
                <v:shape id="Graphic 2" o:spid="_x0000_s1027" style="position:absolute;top:31;width:33464;height:13;visibility:visible;mso-wrap-style:square;v-text-anchor:top" coordsize="33464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B4/8MA&#10;AADaAAAADwAAAGRycy9kb3ducmV2LnhtbESPzWrCQBSF94W+w3CF7pqJtlqJjiJCY3FjG4vrS+aa&#10;xGbuhMw0Sd++IwguD+fn4yzXg6lFR62rLCsYRzEI4tzqigsF38f35zkI55E11pZJwR85WK8eH5aY&#10;aNvzF3WZL0QYYZeggtL7JpHS5SUZdJFtiIN3tq1BH2RbSN1iH8ZNLSdxPJMGKw6EEhvalpT/ZL8m&#10;QPZv/SmdytNx9/q5Sw8VvVxmpNTTaNgsQHga/D18a39oBRO4Xgk3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B4/8MAAADaAAAADwAAAAAAAAAAAAAAAACYAgAAZHJzL2Rv&#10;d25yZXYueG1sUEsFBgAAAAAEAAQA9QAAAIgDAAAAAA==&#10;" path="m,l3346450,e" filled="f" strokecolor="gray" strokeweight=".5pt">
                  <v:path arrowok="t"/>
                </v:shape>
                <v:shape id="Graphic 3" o:spid="_x0000_s1028" style="position:absolute;left:33464;top:31;width:33465;height:13;visibility:visible;mso-wrap-style:square;v-text-anchor:top" coordsize="33464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dZMMA&#10;AADaAAAADwAAAGRycy9kb3ducmV2LnhtbESPzWrCQBSF90LfYbhCdzqx0VSiYyiFmuKmrRbXl8w1&#10;ic3cCZmpiW/fEYQuD+fn46yzwTTiQp2rLSuYTSMQxIXVNZcKvg9vkyUI55E1NpZJwZUcZJuH0RpT&#10;bXv+osvelyKMsEtRQeV9m0rpiooMuqltiYN3sp1BH2RXSt1hH8ZNI5+iKJEGaw6EClt6raj42f+a&#10;ANk998ftQh4P+fwz337UFJ8TUupxPLysQHga/H/43n7XCmK4XQk3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zdZMMAAADaAAAADwAAAAAAAAAAAAAAAACYAgAAZHJzL2Rv&#10;d25yZXYueG1sUEsFBgAAAAAEAAQA9QAAAIgDAAAAAA==&#10;" path="m,l3346450,e" filled="f" strokecolor="gray" strokeweight=".5pt">
                  <v:path arrowok="t"/>
                </v:shape>
                <w10:anchorlock/>
              </v:group>
            </w:pict>
          </mc:Fallback>
        </mc:AlternateContent>
      </w:r>
    </w:p>
    <w:p w:rsidR="001468C1" w:rsidRDefault="001468C1">
      <w:pPr>
        <w:pStyle w:val="BodyText"/>
        <w:rPr>
          <w:rFonts w:ascii="Times New Roman"/>
        </w:rPr>
      </w:pPr>
    </w:p>
    <w:p w:rsidR="001468C1" w:rsidRDefault="001468C1">
      <w:pPr>
        <w:pStyle w:val="BodyText"/>
        <w:spacing w:before="186"/>
        <w:rPr>
          <w:rFonts w:ascii="Times New Roman"/>
        </w:rPr>
      </w:pPr>
    </w:p>
    <w:p w:rsidR="003C70AC" w:rsidRDefault="003C70AC">
      <w:pPr>
        <w:pStyle w:val="BodyText"/>
        <w:spacing w:line="319" w:lineRule="auto"/>
        <w:ind w:left="113" w:right="450"/>
      </w:pPr>
      <w:r>
        <w:t xml:space="preserve">Temeljem čl. 11., st. 2. Zakona o fiskalizaciji u prometu gotovinom (Nar. nov., br. 133/12.), </w:t>
      </w:r>
    </w:p>
    <w:p w:rsidR="003C70AC" w:rsidRDefault="003C70AC">
      <w:pPr>
        <w:pStyle w:val="BodyText"/>
        <w:spacing w:line="319" w:lineRule="auto"/>
        <w:ind w:left="113" w:right="450"/>
      </w:pPr>
      <w:r w:rsidRPr="003C70AC">
        <w:rPr>
          <w:u w:val="single"/>
        </w:rPr>
        <w:t>IME OBRTA/FIRME</w:t>
      </w:r>
      <w:r>
        <w:t>_________</w:t>
      </w:r>
      <w:r>
        <w:t xml:space="preserve">, </w:t>
      </w:r>
      <w:r>
        <w:rPr>
          <w:u w:val="single"/>
        </w:rPr>
        <w:t>ADRESA OBRTA/FIRME______</w:t>
      </w:r>
      <w:r>
        <w:t xml:space="preserve"> </w:t>
      </w:r>
      <w:r>
        <w:t xml:space="preserve">, </w:t>
      </w:r>
    </w:p>
    <w:p w:rsidR="001468C1" w:rsidRDefault="003C70AC">
      <w:pPr>
        <w:pStyle w:val="BodyText"/>
        <w:spacing w:line="319" w:lineRule="auto"/>
        <w:ind w:left="113" w:right="450"/>
      </w:pPr>
      <w:bookmarkStart w:id="0" w:name="_GoBack"/>
      <w:bookmarkEnd w:id="0"/>
      <w:r>
        <w:t>OIB: ____________________</w:t>
      </w:r>
      <w:r>
        <w:t xml:space="preserve"> donosi:</w:t>
      </w:r>
    </w:p>
    <w:p w:rsidR="001468C1" w:rsidRDefault="001468C1">
      <w:pPr>
        <w:pStyle w:val="BodyText"/>
      </w:pPr>
    </w:p>
    <w:p w:rsidR="001468C1" w:rsidRDefault="001468C1">
      <w:pPr>
        <w:pStyle w:val="BodyText"/>
        <w:spacing w:before="91"/>
      </w:pPr>
    </w:p>
    <w:p w:rsidR="001468C1" w:rsidRDefault="003C70AC">
      <w:pPr>
        <w:pStyle w:val="Title"/>
        <w:ind w:right="202"/>
      </w:pPr>
      <w:r>
        <w:rPr>
          <w:spacing w:val="-2"/>
        </w:rPr>
        <w:t>ODLUKU</w:t>
      </w:r>
    </w:p>
    <w:p w:rsidR="001468C1" w:rsidRDefault="003C70AC">
      <w:pPr>
        <w:pStyle w:val="Title"/>
        <w:spacing w:before="84" w:line="312" w:lineRule="auto"/>
      </w:pPr>
      <w:r>
        <w:rPr>
          <w:spacing w:val="-8"/>
        </w:rPr>
        <w:t xml:space="preserve">o pravilima slijedanosti numeričkih brojeva računa, o poslovnim prostorima, o oznakama </w:t>
      </w:r>
      <w:r>
        <w:rPr>
          <w:spacing w:val="-2"/>
        </w:rPr>
        <w:t>naplatnih</w:t>
      </w:r>
      <w:r>
        <w:rPr>
          <w:spacing w:val="-12"/>
        </w:rPr>
        <w:t xml:space="preserve"> </w:t>
      </w:r>
      <w:r>
        <w:rPr>
          <w:spacing w:val="-2"/>
        </w:rPr>
        <w:t>uređaja</w:t>
      </w:r>
      <w:r>
        <w:rPr>
          <w:spacing w:val="-12"/>
        </w:rPr>
        <w:t xml:space="preserve"> </w:t>
      </w:r>
      <w:r>
        <w:rPr>
          <w:spacing w:val="-2"/>
        </w:rPr>
        <w:t>te</w:t>
      </w:r>
      <w:r>
        <w:rPr>
          <w:spacing w:val="-12"/>
        </w:rPr>
        <w:t xml:space="preserve"> </w:t>
      </w:r>
      <w:r>
        <w:rPr>
          <w:spacing w:val="-2"/>
        </w:rPr>
        <w:t>označavanju</w:t>
      </w:r>
      <w:r>
        <w:rPr>
          <w:spacing w:val="-12"/>
        </w:rPr>
        <w:t xml:space="preserve"> </w:t>
      </w:r>
      <w:r>
        <w:rPr>
          <w:spacing w:val="-2"/>
        </w:rPr>
        <w:t>operatera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naplatnim</w:t>
      </w:r>
      <w:r>
        <w:rPr>
          <w:spacing w:val="-12"/>
        </w:rPr>
        <w:t xml:space="preserve"> </w:t>
      </w:r>
      <w:r>
        <w:rPr>
          <w:spacing w:val="-2"/>
        </w:rPr>
        <w:t>uređajima</w:t>
      </w:r>
    </w:p>
    <w:p w:rsidR="001468C1" w:rsidRDefault="001468C1">
      <w:pPr>
        <w:pStyle w:val="BodyText"/>
        <w:rPr>
          <w:rFonts w:ascii="Arial"/>
          <w:b/>
        </w:rPr>
      </w:pPr>
    </w:p>
    <w:p w:rsidR="001468C1" w:rsidRDefault="001468C1">
      <w:pPr>
        <w:pStyle w:val="BodyText"/>
        <w:spacing w:before="94"/>
        <w:rPr>
          <w:rFonts w:ascii="Arial"/>
          <w:b/>
        </w:rPr>
      </w:pPr>
    </w:p>
    <w:p w:rsidR="001468C1" w:rsidRDefault="003C70AC">
      <w:pPr>
        <w:pStyle w:val="Heading1"/>
      </w:pPr>
      <w:r>
        <w:rPr>
          <w:spacing w:val="-5"/>
        </w:rPr>
        <w:t>I.</w:t>
      </w:r>
    </w:p>
    <w:p w:rsidR="001468C1" w:rsidRDefault="003C70AC">
      <w:pPr>
        <w:pStyle w:val="BodyText"/>
        <w:spacing w:before="89" w:line="319" w:lineRule="auto"/>
        <w:ind w:left="113" w:right="450"/>
      </w:pPr>
      <w:r>
        <w:t>Ovom Odlukom uređuje se popis poslovnih prostora s pripadajućom adresom i oznakom poslovnog prosto</w:t>
      </w:r>
      <w:r>
        <w:t>ra i operatera na naplatnim uređajima, radno vrijeme, popis naplatnih uređaja</w:t>
      </w:r>
      <w:r>
        <w:rPr>
          <w:spacing w:val="80"/>
        </w:rPr>
        <w:t xml:space="preserve"> </w:t>
      </w:r>
      <w:r>
        <w:t>te pravilo slijednosti numeričkih brojeva računa.</w:t>
      </w:r>
    </w:p>
    <w:p w:rsidR="001468C1" w:rsidRDefault="001468C1">
      <w:pPr>
        <w:pStyle w:val="BodyText"/>
        <w:spacing w:before="44"/>
      </w:pPr>
    </w:p>
    <w:p w:rsidR="001468C1" w:rsidRDefault="003C70AC">
      <w:pPr>
        <w:pStyle w:val="Heading1"/>
      </w:pPr>
      <w:r>
        <w:rPr>
          <w:spacing w:val="-5"/>
        </w:rPr>
        <w:t>II.</w:t>
      </w:r>
    </w:p>
    <w:p w:rsidR="001468C1" w:rsidRDefault="003C70AC">
      <w:pPr>
        <w:pStyle w:val="BodyText"/>
        <w:spacing w:before="88" w:line="319" w:lineRule="auto"/>
        <w:ind w:left="113" w:right="450"/>
      </w:pPr>
      <w:r>
        <w:t>Podaci poslovnih prostora sa oznakom, pripadajućom adresom i radnim vremenom, daje se u tablici u nastavku;</w:t>
      </w:r>
    </w:p>
    <w:p w:rsidR="001468C1" w:rsidRDefault="001468C1">
      <w:pPr>
        <w:pStyle w:val="BodyText"/>
        <w:spacing w:before="10" w:after="1"/>
        <w:rPr>
          <w:sz w:val="14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2635"/>
        <w:gridCol w:w="2635"/>
        <w:gridCol w:w="2635"/>
      </w:tblGrid>
      <w:tr w:rsidR="001468C1">
        <w:trPr>
          <w:trHeight w:val="397"/>
        </w:trPr>
        <w:tc>
          <w:tcPr>
            <w:tcW w:w="2635" w:type="dxa"/>
            <w:shd w:val="clear" w:color="auto" w:fill="F5F5F5"/>
          </w:tcPr>
          <w:p w:rsidR="001468C1" w:rsidRDefault="003C70AC">
            <w:pPr>
              <w:pStyle w:val="TableParagraph"/>
              <w:spacing w:before="145"/>
              <w:ind w:left="67"/>
              <w:rPr>
                <w:sz w:val="20"/>
              </w:rPr>
            </w:pPr>
            <w:r>
              <w:rPr>
                <w:sz w:val="20"/>
              </w:rPr>
              <w:t>Oznaka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poslovn</w:t>
            </w:r>
            <w:r>
              <w:rPr>
                <w:sz w:val="20"/>
              </w:rPr>
              <w:t xml:space="preserve">og </w:t>
            </w:r>
            <w:r>
              <w:rPr>
                <w:spacing w:val="-2"/>
                <w:sz w:val="20"/>
              </w:rPr>
              <w:t>prostora</w:t>
            </w:r>
          </w:p>
        </w:tc>
        <w:tc>
          <w:tcPr>
            <w:tcW w:w="2635" w:type="dxa"/>
            <w:shd w:val="clear" w:color="auto" w:fill="F5F5F5"/>
          </w:tcPr>
          <w:p w:rsidR="001468C1" w:rsidRDefault="003C70AC">
            <w:pPr>
              <w:pStyle w:val="TableParagraph"/>
              <w:spacing w:before="145"/>
              <w:ind w:left="200"/>
              <w:rPr>
                <w:sz w:val="20"/>
              </w:rPr>
            </w:pPr>
            <w:r>
              <w:rPr>
                <w:sz w:val="20"/>
              </w:rPr>
              <w:t>Opis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poslovnog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prostora</w:t>
            </w:r>
          </w:p>
        </w:tc>
        <w:tc>
          <w:tcPr>
            <w:tcW w:w="2635" w:type="dxa"/>
            <w:shd w:val="clear" w:color="auto" w:fill="F5F5F5"/>
          </w:tcPr>
          <w:p w:rsidR="001468C1" w:rsidRDefault="003C70AC">
            <w:pPr>
              <w:pStyle w:val="TableParagraph"/>
              <w:spacing w:before="145"/>
              <w:ind w:left="90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poslovnog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prostora</w:t>
            </w:r>
          </w:p>
        </w:tc>
        <w:tc>
          <w:tcPr>
            <w:tcW w:w="2635" w:type="dxa"/>
            <w:shd w:val="clear" w:color="auto" w:fill="F5F5F5"/>
          </w:tcPr>
          <w:p w:rsidR="001468C1" w:rsidRDefault="003C70AC">
            <w:pPr>
              <w:pStyle w:val="TableParagraph"/>
              <w:spacing w:before="145"/>
              <w:ind w:left="666"/>
              <w:rPr>
                <w:sz w:val="20"/>
              </w:rPr>
            </w:pPr>
            <w:r>
              <w:rPr>
                <w:spacing w:val="-2"/>
                <w:sz w:val="20"/>
              </w:rPr>
              <w:t>Radno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vrijeme</w:t>
            </w:r>
          </w:p>
        </w:tc>
      </w:tr>
      <w:tr w:rsidR="001468C1">
        <w:trPr>
          <w:trHeight w:val="363"/>
        </w:trPr>
        <w:tc>
          <w:tcPr>
            <w:tcW w:w="2635" w:type="dxa"/>
          </w:tcPr>
          <w:p w:rsidR="001468C1" w:rsidRDefault="003C70AC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P1</w:t>
            </w:r>
          </w:p>
        </w:tc>
        <w:tc>
          <w:tcPr>
            <w:tcW w:w="2635" w:type="dxa"/>
          </w:tcPr>
          <w:p w:rsidR="001468C1" w:rsidRDefault="003C70AC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Auto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taxi</w:t>
            </w:r>
          </w:p>
        </w:tc>
        <w:tc>
          <w:tcPr>
            <w:tcW w:w="2635" w:type="dxa"/>
          </w:tcPr>
          <w:p w:rsidR="001468C1" w:rsidRDefault="003C70AC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Auto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taxi</w:t>
            </w:r>
          </w:p>
        </w:tc>
        <w:tc>
          <w:tcPr>
            <w:tcW w:w="2635" w:type="dxa"/>
          </w:tcPr>
          <w:p w:rsidR="001468C1" w:rsidRDefault="003C70A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dogovoru</w:t>
            </w:r>
          </w:p>
        </w:tc>
      </w:tr>
    </w:tbl>
    <w:p w:rsidR="001468C1" w:rsidRDefault="001468C1">
      <w:pPr>
        <w:pStyle w:val="BodyText"/>
        <w:spacing w:before="148"/>
      </w:pPr>
    </w:p>
    <w:p w:rsidR="001468C1" w:rsidRDefault="003C70AC">
      <w:pPr>
        <w:pStyle w:val="Heading1"/>
      </w:pPr>
      <w:r>
        <w:rPr>
          <w:spacing w:val="-4"/>
        </w:rPr>
        <w:t>III.</w:t>
      </w:r>
    </w:p>
    <w:p w:rsidR="001468C1" w:rsidRDefault="003C70AC">
      <w:pPr>
        <w:pStyle w:val="BodyText"/>
        <w:spacing w:before="68" w:line="326" w:lineRule="auto"/>
        <w:ind w:left="113" w:right="153"/>
        <w:jc w:val="both"/>
      </w:pPr>
      <w:r>
        <w:t>Numerički broj računa po svakom naplatnom uređaju počinje s početkom kalendarske godine, na dan 1. siječnja, od rednog broja 1 do broja „n“ na dan 31. prosinca tekuće godine poštujući pravilo slijednosti numeričkih brojeva računa.</w:t>
      </w:r>
    </w:p>
    <w:p w:rsidR="001468C1" w:rsidRDefault="003C70AC">
      <w:pPr>
        <w:pStyle w:val="BodyText"/>
        <w:spacing w:line="243" w:lineRule="exact"/>
        <w:ind w:left="113"/>
        <w:jc w:val="both"/>
      </w:pPr>
      <w:r>
        <w:t>Oznaka računa</w:t>
      </w:r>
      <w:r>
        <w:rPr>
          <w:spacing w:val="1"/>
        </w:rPr>
        <w:t xml:space="preserve"> </w:t>
      </w:r>
      <w:r>
        <w:t>sastoji se</w:t>
      </w:r>
      <w:r>
        <w:rPr>
          <w:spacing w:val="1"/>
        </w:rPr>
        <w:t xml:space="preserve"> </w:t>
      </w:r>
      <w:r>
        <w:t>od rednog</w:t>
      </w:r>
      <w:r>
        <w:rPr>
          <w:spacing w:val="1"/>
        </w:rPr>
        <w:t xml:space="preserve"> </w:t>
      </w:r>
      <w:r>
        <w:t>broja računa,</w:t>
      </w:r>
      <w:r>
        <w:rPr>
          <w:spacing w:val="1"/>
        </w:rPr>
        <w:t xml:space="preserve"> </w:t>
      </w:r>
      <w:r>
        <w:t>oznake</w:t>
      </w:r>
      <w:r>
        <w:rPr>
          <w:spacing w:val="1"/>
        </w:rPr>
        <w:t xml:space="preserve"> </w:t>
      </w:r>
      <w:r>
        <w:t>poslovnog prostora</w:t>
      </w:r>
      <w:r>
        <w:rPr>
          <w:spacing w:val="1"/>
        </w:rPr>
        <w:t xml:space="preserve"> </w:t>
      </w:r>
      <w:r>
        <w:t>i oznake</w:t>
      </w:r>
      <w:r>
        <w:rPr>
          <w:spacing w:val="1"/>
        </w:rPr>
        <w:t xml:space="preserve"> </w:t>
      </w:r>
      <w:r>
        <w:rPr>
          <w:spacing w:val="-2"/>
        </w:rPr>
        <w:t>naplatnog</w:t>
      </w:r>
    </w:p>
    <w:p w:rsidR="001468C1" w:rsidRDefault="003C70AC">
      <w:pPr>
        <w:pStyle w:val="BodyText"/>
        <w:spacing w:before="109"/>
        <w:ind w:left="113"/>
      </w:pPr>
      <w:r>
        <w:rPr>
          <w:spacing w:val="-2"/>
        </w:rPr>
        <w:t>uređaja.</w:t>
      </w:r>
    </w:p>
    <w:p w:rsidR="001468C1" w:rsidRDefault="001468C1">
      <w:pPr>
        <w:pStyle w:val="BodyText"/>
        <w:spacing w:before="136"/>
      </w:pPr>
    </w:p>
    <w:p w:rsidR="001468C1" w:rsidRDefault="003C70AC">
      <w:pPr>
        <w:pStyle w:val="Heading1"/>
        <w:spacing w:before="1"/>
      </w:pPr>
      <w:r>
        <w:rPr>
          <w:spacing w:val="-5"/>
        </w:rPr>
        <w:t>IV.</w:t>
      </w:r>
    </w:p>
    <w:p w:rsidR="001468C1" w:rsidRDefault="003C70AC">
      <w:pPr>
        <w:pStyle w:val="BodyText"/>
        <w:spacing w:before="68" w:line="336" w:lineRule="auto"/>
        <w:ind w:left="113" w:right="450"/>
      </w:pPr>
      <w:r>
        <w:t>U navedenim poslovnim prostorima na svakom računu biti će navedeno oznaka operatera koji račun izdaje.</w:t>
      </w:r>
    </w:p>
    <w:p w:rsidR="001468C1" w:rsidRDefault="001468C1">
      <w:pPr>
        <w:pStyle w:val="BodyText"/>
        <w:spacing w:before="7"/>
      </w:pPr>
    </w:p>
    <w:p w:rsidR="001468C1" w:rsidRDefault="003C70AC">
      <w:pPr>
        <w:pStyle w:val="BodyText"/>
        <w:tabs>
          <w:tab w:val="left" w:pos="5048"/>
        </w:tabs>
        <w:spacing w:before="1"/>
        <w:ind w:left="113"/>
      </w:pPr>
      <w:r>
        <w:t>Ova</w:t>
      </w:r>
      <w:r>
        <w:rPr>
          <w:spacing w:val="-2"/>
        </w:rPr>
        <w:t xml:space="preserve"> </w:t>
      </w:r>
      <w:r>
        <w:t>odluka</w:t>
      </w:r>
      <w:r>
        <w:rPr>
          <w:spacing w:val="-2"/>
        </w:rPr>
        <w:t xml:space="preserve"> </w:t>
      </w:r>
      <w:r>
        <w:t>stupa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snagu</w:t>
      </w:r>
      <w:r>
        <w:rPr>
          <w:spacing w:val="-2"/>
        </w:rPr>
        <w:t xml:space="preserve"> </w:t>
      </w:r>
      <w:r>
        <w:rPr>
          <w:u w:val="single"/>
        </w:rPr>
        <w:tab/>
        <w:t xml:space="preserve"> </w:t>
      </w:r>
      <w:r>
        <w:t>godine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primjenjuje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od</w:t>
      </w:r>
      <w:r>
        <w:rPr>
          <w:spacing w:val="12"/>
        </w:rPr>
        <w:t xml:space="preserve"> </w:t>
      </w:r>
      <w:r>
        <w:t>toga</w:t>
      </w:r>
      <w:r>
        <w:rPr>
          <w:spacing w:val="12"/>
        </w:rPr>
        <w:t xml:space="preserve"> </w:t>
      </w:r>
      <w:r>
        <w:rPr>
          <w:spacing w:val="-2"/>
        </w:rPr>
        <w:t>datuma.</w:t>
      </w:r>
    </w:p>
    <w:p w:rsidR="001468C1" w:rsidRDefault="001468C1">
      <w:pPr>
        <w:pStyle w:val="BodyText"/>
      </w:pPr>
    </w:p>
    <w:p w:rsidR="001468C1" w:rsidRDefault="001468C1">
      <w:pPr>
        <w:pStyle w:val="BodyText"/>
        <w:spacing w:before="234"/>
      </w:pPr>
    </w:p>
    <w:p w:rsidR="001468C1" w:rsidRDefault="003C70AC">
      <w:pPr>
        <w:pStyle w:val="BodyText"/>
        <w:ind w:right="112"/>
        <w:jc w:val="right"/>
      </w:pPr>
      <w:r>
        <w:t>Potpis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pečat</w:t>
      </w:r>
      <w:r>
        <w:rPr>
          <w:spacing w:val="9"/>
        </w:rPr>
        <w:t xml:space="preserve"> </w:t>
      </w:r>
      <w:r>
        <w:t>ovlaštene</w:t>
      </w:r>
      <w:r>
        <w:rPr>
          <w:spacing w:val="10"/>
        </w:rPr>
        <w:t xml:space="preserve"> </w:t>
      </w:r>
      <w:r>
        <w:rPr>
          <w:spacing w:val="-2"/>
        </w:rPr>
        <w:t>osobe</w:t>
      </w:r>
    </w:p>
    <w:sectPr w:rsidR="001468C1">
      <w:type w:val="continuous"/>
      <w:pgSz w:w="11900" w:h="16840"/>
      <w:pgMar w:top="11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68C1"/>
    <w:rsid w:val="001468C1"/>
    <w:rsid w:val="003C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2FD60B-C585-43DE-938A-41688B4E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bs-Latn"/>
    </w:rPr>
  </w:style>
  <w:style w:type="paragraph" w:styleId="Heading1">
    <w:name w:val="heading 1"/>
    <w:basedOn w:val="Normal"/>
    <w:uiPriority w:val="1"/>
    <w:qFormat/>
    <w:pPr>
      <w:ind w:left="149" w:right="149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49" w:right="14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4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INTERNI AKT</dc:title>
  <dc:subject>Deva Trans, obrt za prijevoz</dc:subject>
  <dc:creator>Marin Vrdoljak</dc:creator>
  <cp:lastModifiedBy>Marin</cp:lastModifiedBy>
  <cp:revision>2</cp:revision>
  <dcterms:created xsi:type="dcterms:W3CDTF">2025-01-21T18:30:00Z</dcterms:created>
  <dcterms:modified xsi:type="dcterms:W3CDTF">2025-01-21T18:41:00Z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Superius.hr report generator</vt:lpwstr>
  </property>
  <property fmtid="{D5CDD505-2E9C-101B-9397-08002B2CF9AE}" pid="4" name="LastSaved">
    <vt:filetime>2025-01-21T00:00:00Z</vt:filetime>
  </property>
  <property fmtid="{D5CDD505-2E9C-101B-9397-08002B2CF9AE}" pid="5" name="Producer">
    <vt:lpwstr>iText® 5.1.3 ©2000-2011 1T3XT BVBA</vt:lpwstr>
  </property>
</Properties>
</file>